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84c2b2571acc9eebf2f1402cc86858ffc866ccd"/>
    <w:p>
      <w:pPr>
        <w:pStyle w:val="Heading1"/>
      </w:pPr>
      <w:r>
        <w:t xml:space="preserve">Record of Processing (ROPA) + Breach Response — spelling.live</w:t>
      </w:r>
    </w:p>
    <w:p>
      <w:pPr>
        <w:pStyle w:val="BlockText"/>
      </w:pPr>
      <w:r>
        <w:rPr>
          <w:bCs/>
          <w:b/>
        </w:rPr>
        <w:t xml:space="preserve">Status:</w:t>
      </w:r>
      <w:r>
        <w:t xml:space="preserve"> </w:t>
      </w:r>
      <w:r>
        <w:t xml:space="preserve">Complete — keep current on any processing change. The ROPA satisfies</w:t>
      </w:r>
      <w:r>
        <w:t xml:space="preserve"> </w:t>
      </w:r>
      <w:r>
        <w:t xml:space="preserve">UK GDPR Art. 30 record-keeping; the breach plan covers Art. 33/34. Not legal advice.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2026-06-30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Sole Trader: Spelling Live,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support@spelling.live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2026-10-14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AK Shah Ltd (Manoj Shah, Director),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support@spelling.live</w:t>
              </w:r>
            </w:hyperlink>
            <w:r>
              <w:t xml:space="preserve"> </w:t>
            </w:r>
            <w:r>
              <w:t xml:space="preserve">- Resend added as a processor; controller details updated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34" w:name="X918723a878e723bb15387b866d03ae095346c3d"/>
    <w:p>
      <w:pPr>
        <w:pStyle w:val="Heading2"/>
      </w:pPr>
      <w:r>
        <w:t xml:space="preserve">Part A — Record of Processing Activities (Art. 30)</w:t>
      </w:r>
    </w:p>
    <w:p>
      <w:pPr>
        <w:pStyle w:val="FirstParagraph"/>
      </w:pPr>
      <w:r>
        <w:rPr>
          <w:bCs/>
          <w:b/>
        </w:rPr>
        <w:t xml:space="preserve">Controller:</w:t>
      </w:r>
      <w:r>
        <w:t xml:space="preserve"> </w:t>
      </w:r>
      <w:r>
        <w:t xml:space="preserve">AK Shah Ltd (company number 17491910), trading as Spelling.Live,</w:t>
      </w:r>
      <w:r>
        <w:t xml:space="preserve"> </w:t>
      </w:r>
      <w:hyperlink r:id="rId20">
        <w:r>
          <w:rPr>
            <w:rStyle w:val="Hyperlink"/>
          </w:rPr>
          <w:t xml:space="preserve">support@spelling.live</w:t>
        </w:r>
      </w:hyperlink>
      <w:r>
        <w:t xml:space="preserve">.</w:t>
      </w:r>
      <w:r>
        <w:t xml:space="preserve"> </w:t>
      </w:r>
      <w:r>
        <w:t xml:space="preserve">Previously Mr Manoj Shah as a sole trader (ICO ref ZC173462); AK Shah Ltd holds its own ICO registration</w:t>
      </w:r>
      <w:r>
        <w:t xml:space="preserve"> </w:t>
      </w:r>
      <w:r>
        <w:t xml:space="preserve">(ref ZC266285, registered name: Ak Shah Ltd).</w:t>
      </w:r>
      <w:r>
        <w:t xml:space="preserve"> </w:t>
      </w:r>
      <w:r>
        <w:rPr>
          <w:bCs/>
          <w:b/>
        </w:rPr>
        <w:t xml:space="preserve">DPO:</w:t>
      </w:r>
      <w:r>
        <w:t xml:space="preserve"> </w:t>
      </w:r>
      <w:r>
        <w:t xml:space="preserve">none (not required).</w:t>
      </w:r>
      <w:r>
        <w:t xml:space="preserve"> </w:t>
      </w:r>
      <w:r>
        <w:rPr>
          <w:bCs/>
          <w:b/>
        </w:rPr>
        <w:t xml:space="preserve">Representative:</w:t>
      </w:r>
      <w:r>
        <w:t xml:space="preserve"> </w:t>
      </w:r>
      <w:r>
        <w:t xml:space="preserve">N/A (controller is UK-based).</w:t>
      </w:r>
    </w:p>
    <w:bookmarkStart w:id="21" w:name="a1-processing-activities--purposes"/>
    <w:p>
      <w:pPr>
        <w:pStyle w:val="Heading3"/>
      </w:pPr>
      <w:r>
        <w:t xml:space="preserve">A1. Processing activities &amp; purposes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Purpose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Lawful basis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Account &amp; child-profile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Run the service the parent set 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Spelling practice &amp; progress tracking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Deliver/personalise learning; parent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/ legitimate interests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 features (sentences, hints, handwriting &amp; worksheet reading, voice transcription, audio)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Generate learning content &amp; feedback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Consent (optional features) / contract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Handwriting/formation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Per-child writing feedback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(part of the learning service); parent can toggle off per child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 Spelling Coach tips (incl. per-child pattern personalisation)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Explain to a parent/child why a spelling mistake keeps happening and what to practise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(part of the learning service); parent-initiated per word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Security, logging, abuse/credit metering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Protect the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Legitimate interests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Progress/reminder emails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parents informed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Legitimate interests (service-related communications to the parent who signed up; parent can disable reminders in settings)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Practice reminders on the parent's device (native app)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Remind a child to practise at a time the parent chose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Consent (parent switches it on per child; OS notification permission). Stored and scheduled on the device only - nothing is sent to 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Support feedback handling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Respond to users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Legitimate interests</w:t>
            </w:r>
          </w:p>
        </w:tc>
      </w:tr>
    </w:tbl>
    <w:bookmarkEnd w:id="21"/>
    <w:bookmarkStart w:id="22" w:name="X956b26cf0bc6c962597a1e51b54a8c494e0a83e"/>
    <w:p>
      <w:pPr>
        <w:pStyle w:val="Heading3"/>
      </w:pPr>
      <w:r>
        <w:t xml:space="preserve">A2. Categories of data subjects &amp; personal data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Parents:</w:t>
      </w:r>
      <w:r>
        <w:t xml:space="preserve"> </w:t>
      </w:r>
      <w:r>
        <w:t xml:space="preserve">email, account IDs, sign-in provider metadata, IP/device/server logs.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Children:</w:t>
      </w:r>
      <w:r>
        <w:t xml:space="preserve"> </w:t>
      </w:r>
      <w:r>
        <w:t xml:space="preserve">name/label, learning level, year group, practice activity, per-word stats, handwriting image thumbnails, transient voice input, report events.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Children — derived/inferred:</w:t>
      </w:r>
      <w:r>
        <w:t xml:space="preserve"> </w:t>
      </w:r>
      <w:r>
        <w:t xml:space="preserve">spelling-error pattern classifications (deterministic, from</w:t>
      </w:r>
      <w:r>
        <w:t xml:space="preserve"> </w:t>
      </w:r>
      <w:r>
        <w:rPr>
          <w:rStyle w:val="VerbatimChar"/>
        </w:rPr>
        <w:t xml:space="preserve">spelling_report_events</w:t>
      </w:r>
      <w:r>
        <w:t xml:space="preserve">), Skills Check feature profiles (</w:t>
      </w:r>
      <w:r>
        <w:rPr>
          <w:rStyle w:val="VerbatimChar"/>
        </w:rPr>
        <w:t xml:space="preserve">skills_checks.feature_profile</w:t>
      </w:r>
      <w:r>
        <w:t xml:space="preserve">), and</w:t>
      </w:r>
      <w:r>
        <w:t xml:space="preserve"> </w:t>
      </w:r>
      <w:r>
        <w:t xml:space="preserve">AI-generated coach tips personalised to that child's recurring patterns (</w:t>
      </w:r>
      <w:r>
        <w:rPr>
          <w:rStyle w:val="VerbatimChar"/>
        </w:rPr>
        <w:t xml:space="preserve">child_word_tips</w:t>
      </w:r>
      <w:r>
        <w:t xml:space="preserve">).</w:t>
      </w:r>
      <w:r>
        <w:t xml:space="preserve"> </w:t>
      </w:r>
      <w:r>
        <w:t xml:space="preserve">These are</w:t>
      </w:r>
      <w:r>
        <w:t xml:space="preserve"> </w:t>
      </w:r>
      <w:r>
        <w:rPr>
          <w:bCs/>
          <w:b/>
        </w:rPr>
        <w:t xml:space="preserve">inferences about a child's learning difficulties</w:t>
      </w:r>
      <w:r>
        <w:t xml:space="preserve">, not just activity records, so</w:t>
      </w:r>
      <w:r>
        <w:t xml:space="preserve"> </w:t>
      </w:r>
      <w:r>
        <w:t xml:space="preserve">they are RLS-scoped to the owning parent (or the child's own login), covered by account/child</w:t>
      </w:r>
      <w:r>
        <w:t xml:space="preserve"> </w:t>
      </w:r>
      <w:r>
        <w:t xml:space="preserve">delete and by the data export, and never shared with another child. The non-personalised tip</w:t>
      </w:r>
      <w:r>
        <w:t xml:space="preserve"> </w:t>
      </w:r>
      <w:r>
        <w:t xml:space="preserve">caches (</w:t>
      </w:r>
      <w:r>
        <w:rPr>
          <w:rStyle w:val="VerbatimChar"/>
        </w:rPr>
        <w:t xml:space="preserve">word_tips</w:t>
      </w:r>
      <w:r>
        <w:t xml:space="preserve">,</w:t>
      </w:r>
      <w:r>
        <w:t xml:space="preserve"> </w:t>
      </w:r>
      <w:r>
        <w:rPr>
          <w:rStyle w:val="VerbatimChar"/>
        </w:rPr>
        <w:t xml:space="preserve">mistake_tips</w:t>
      </w:r>
      <w:r>
        <w:t xml:space="preserve">) are keyed on the word and the misspelling only, contain no</w:t>
      </w:r>
      <w:r>
        <w:t xml:space="preserve"> </w:t>
      </w:r>
      <w:r>
        <w:t xml:space="preserve">child identifier, and are deliberately shared across learners.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Children — imported from Google Classroom (teachers only):</w:t>
      </w:r>
      <w:r>
        <w:t xml:space="preserve"> </w:t>
      </w:r>
      <w:r>
        <w:t xml:space="preserve">the pupil's Google Classroom user ID, stored as a</w:t>
      </w:r>
      <w:r>
        <w:t xml:space="preserve"> </w:t>
      </w:r>
      <w:r>
        <w:t xml:space="preserve">dedupe key so a repeat import never duplicates a child (</w:t>
      </w:r>
      <w:r>
        <w:rPr>
          <w:rStyle w:val="VerbatimChar"/>
        </w:rPr>
        <w:t xml:space="preserve">child_external_identities</w:t>
      </w:r>
      <w:r>
        <w:t xml:space="preserve">). No email or photo is requested</w:t>
      </w:r>
      <w:r>
        <w:t xml:space="preserve"> </w:t>
      </w:r>
      <w:r>
        <w:t xml:space="preserve">or stored. Google Classroom is a data</w:t>
      </w:r>
      <w:r>
        <w:t xml:space="preserve"> </w:t>
      </w:r>
      <w:r>
        <w:rPr>
          <w:bCs/>
          <w:b/>
        </w:rPr>
        <w:t xml:space="preserve">source</w:t>
      </w:r>
      <w:r>
        <w:t xml:space="preserve"> </w:t>
      </w:r>
      <w:r>
        <w:t xml:space="preserve">authorised by the teacher, not a recipient of our data.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Children — imported from a school MIS via Wonde (teachers only):</w:t>
      </w:r>
      <w:r>
        <w:t xml:space="preserve"> </w:t>
      </w:r>
      <w:r>
        <w:t xml:space="preserve">the pupil's Wonde student ID, stored as the</w:t>
      </w:r>
      <w:r>
        <w:t xml:space="preserve"> </w:t>
      </w:r>
      <w:r>
        <w:t xml:space="preserve">same dedupe key (provider</w:t>
      </w:r>
      <w:r>
        <w:t xml:space="preserve"> </w:t>
      </w:r>
      <w:r>
        <w:rPr>
          <w:rStyle w:val="VerbatimChar"/>
        </w:rPr>
        <w:t xml:space="preserve">wonde</w:t>
      </w:r>
      <w:r>
        <w:t xml:space="preserve">), plus the preferred name. Nothing else from the MIS is read. Wonde is a data</w:t>
      </w:r>
      <w:r>
        <w:t xml:space="preserve"> </w:t>
      </w:r>
      <w:r>
        <w:rPr>
          <w:bCs/>
          <w:b/>
        </w:rPr>
        <w:t xml:space="preserve">source</w:t>
      </w:r>
      <w:r>
        <w:t xml:space="preserve"> </w:t>
      </w:r>
      <w:r>
        <w:t xml:space="preserve">authorised by the school in the Wonde portal, not a recipient of our data.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 category (Art. 9):</w:t>
      </w:r>
      <w:r>
        <w:t xml:space="preserve"> </w:t>
      </w:r>
      <w:r>
        <w:t xml:space="preserve">none intended (handwriting images are not biometric identification; voice is transient).</w:t>
      </w:r>
    </w:p>
    <w:bookmarkEnd w:id="22"/>
    <w:bookmarkStart w:id="30" w:name="a3-recipients-processors--sub-processors"/>
    <w:p>
      <w:pPr>
        <w:pStyle w:val="Heading3"/>
      </w:pPr>
      <w:r>
        <w:t xml:space="preserve">A3. Recipients (processors / sub-processors)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Recipient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Safeguard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Vercel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Hosting/infrastructure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IP, logs, requests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Serverless (Node) functions: EU — Frankfurt (</w:t>
            </w:r>
            <w:r>
              <w:rPr>
                <w:rStyle w:val="VerbatimChar"/>
                <w:bCs/>
                <w:b/>
              </w:rPr>
              <w:t xml:space="preserve">fra1</w:t>
            </w:r>
            <w:r>
              <w:rPr>
                <w:bCs/>
                <w:b/>
              </w:rPr>
              <w:t xml:space="preserve">)</w:t>
            </w:r>
            <w:r>
              <w:t xml:space="preserve">;</w:t>
            </w:r>
            <w:r>
              <w:t xml:space="preserve"> </w:t>
            </w:r>
            <w:r>
              <w:rPr>
                <w:bCs/>
                <w:b/>
              </w:rPr>
              <w:t xml:space="preserve">Edge Functions + static assets: global edge network</w:t>
            </w:r>
            <w:r>
              <w:t xml:space="preserve"> </w:t>
            </w:r>
            <w:r>
              <w:t xml:space="preserve">(executed nearest the request; most API routes are Edge)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DPA with SCCs</w:t>
              </w:r>
            </w:hyperlink>
            <w:r>
              <w:t xml:space="preserve"> </w:t>
            </w:r>
            <w:r>
              <w:t xml:space="preserve">Accepted (2026-06-30)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Supabase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Database, storage, auth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stored personal data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EU — Ireland (AWS</w:t>
            </w:r>
            <w:r>
              <w:rPr>
                <w:bCs/>
                <w:b/>
              </w:rPr>
              <w:t xml:space="preserve"> </w:t>
            </w:r>
            <w:r>
              <w:rPr>
                <w:rStyle w:val="VerbatimChar"/>
                <w:bCs/>
                <w:b/>
              </w:rPr>
              <w:t xml:space="preserve">eu-west-1</w:t>
            </w:r>
            <w:r>
              <w:rPr>
                <w:bCs/>
                <w:b/>
              </w:rP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the EEA (UK adequacy);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DPA with SCCs</w:t>
              </w:r>
            </w:hyperlink>
            <w:r>
              <w:t xml:space="preserve"> </w:t>
            </w:r>
            <w:r>
              <w:t xml:space="preserve">also accepted (2026-06-30) for US support access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 text/vision/voice/TTS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Practice text, handwriting images, voice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DPA with SCCs</w:t>
              </w:r>
            </w:hyperlink>
            <w:r>
              <w:t xml:space="preserve"> </w:t>
            </w:r>
            <w:r>
              <w:t xml:space="preserve">Accepted (2026-06-30)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Google Cloud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TTS/Vision/Gemini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Text, audio, images (incl. Write it handwriting images for Cloud Vision reading - no name, ID or expected word, from 2026-10-04)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US/global</w:t>
            </w:r>
          </w:p>
        </w:tc>
        <w:tc>
          <w:tcPr/>
          <w:p>
            <w:pPr>
              <w:pStyle w:val="Compact"/>
              <w:jc w:val="left"/>
            </w:pPr>
            <w:hyperlink r:id="rId26">
              <w:r>
                <w:rPr>
                  <w:rStyle w:val="Hyperlink"/>
                </w:rPr>
                <w:t xml:space="preserve">DPA with SCCs</w:t>
              </w:r>
            </w:hyperlink>
            <w:r>
              <w:t xml:space="preserve"> </w:t>
            </w:r>
            <w:r>
              <w:t xml:space="preserve">Accepted (2026-06-30)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Anthropic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Support-feedback triage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Feedback text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</w:t>
            </w:r>
          </w:p>
        </w:tc>
        <w:tc>
          <w:tcPr/>
          <w:p>
            <w:pPr>
              <w:pStyle w:val="Compact"/>
              <w:jc w:val="left"/>
            </w:pPr>
            <w:hyperlink r:id="rId27">
              <w:r>
                <w:rPr>
                  <w:rStyle w:val="Hyperlink"/>
                </w:rPr>
                <w:t xml:space="preserve">DPA with SCCs</w:t>
              </w:r>
            </w:hyperlink>
            <w:r>
              <w:t xml:space="preserve"> </w:t>
            </w:r>
            <w:r>
              <w:t xml:space="preserve">Accepted (2026-06-30)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PostHog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analytics, feature flags, session replay (churn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Anonymous profile UUID, event names with numeric/boolean properties only. Parent/tutor account email (</w:t>
            </w:r>
            <w:r>
              <w:rPr>
                <w:rStyle w:val="VerbatimChar"/>
              </w:rPr>
              <w:t xml:space="preserve">parent_email</w:t>
            </w:r>
            <w:r>
              <w:t xml:space="preserve"> </w:t>
            </w:r>
            <w:r>
              <w:t xml:space="preserve">person property, adult data) for genuine parent logins only. No child names, practice words, or free-text, except the site-search term typed on the public help/blog/resources pages (not in the app), scrubbed and withheld when it contains an email, phone number or web address (</w:t>
            </w:r>
            <w:r>
              <w:rPr>
                <w:rStyle w:val="VerbatimChar"/>
              </w:rPr>
              <w:t xml:space="preserve">js/site-search.js</w:t>
            </w:r>
            <w:r>
              <w:t xml:space="preserve">). Session replay masks all displayed text and all typed inputs by default; only parent-facing static UI (sign-in, add-child copy) is unmasked — no child name/practice word/handwriting is captured.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 (</w:t>
            </w:r>
            <w:r>
              <w:rPr>
                <w:rStyle w:val="VerbatimChar"/>
              </w:rPr>
              <w:t xml:space="preserve">eu.i.posthog.com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hyperlink r:id="rId28">
              <w:r>
                <w:rPr>
                  <w:rStyle w:val="Hyperlink"/>
                </w:rPr>
                <w:t xml:space="preserve">DPA</w:t>
              </w:r>
            </w:hyperlink>
            <w:r>
              <w:t xml:space="preserve"> </w:t>
            </w:r>
            <w:r>
              <w:t xml:space="preserve">Accepted (2026-06-30)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Transactional email (progress reports, reminders, account and teacher emails)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Recipient name and email address, email subject and body as sent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</w:t>
            </w:r>
          </w:p>
        </w:tc>
        <w:tc>
          <w:tcPr/>
          <w:p>
            <w:pPr>
              <w:pStyle w:val="Compact"/>
              <w:jc w:val="left"/>
            </w:pPr>
            <w:hyperlink r:id="rId29">
              <w:r>
                <w:rPr>
                  <w:rStyle w:val="Hyperlink"/>
                </w:rPr>
                <w:t xml:space="preserve">DPA with SCCs</w:t>
              </w:r>
            </w:hyperlink>
            <w:r>
              <w:t xml:space="preserve"> </w:t>
            </w:r>
            <w:r>
              <w:t xml:space="preserve">Accepted (2026-10-13)</w:t>
            </w:r>
          </w:p>
        </w:tc>
      </w:tr>
    </w:tbl>
    <w:p>
      <w:pPr>
        <w:pStyle w:val="BlockText"/>
      </w:pPr>
      <w:r>
        <w:t xml:space="preserve">Canonical AI list is maintained in</w:t>
      </w:r>
      <w:r>
        <w:t xml:space="preserve"> </w:t>
      </w:r>
      <w:r>
        <w:rPr>
          <w:rStyle w:val="VerbatimChar"/>
        </w:rPr>
        <w:t xml:space="preserve">data/ai-subprocessors.json</w:t>
      </w:r>
      <w:r>
        <w:t xml:space="preserve"> </w:t>
      </w:r>
      <w:r>
        <w:t xml:space="preserve">and reviewed on a recurring schedule (</w:t>
      </w:r>
      <w:r>
        <w:rPr>
          <w:rStyle w:val="VerbatimChar"/>
        </w:rPr>
        <w:t xml:space="preserve">npm run check-vendor-terms</w:t>
      </w:r>
      <w:r>
        <w:t xml:space="preserve">).</w:t>
      </w:r>
    </w:p>
    <w:bookmarkEnd w:id="30"/>
    <w:bookmarkStart w:id="31" w:name="a4-international-transfers"/>
    <w:p>
      <w:pPr>
        <w:pStyle w:val="Heading3"/>
      </w:pPr>
      <w:r>
        <w:t xml:space="preserve">A4. International transfers</w:t>
      </w:r>
    </w:p>
    <w:p>
      <w:pPr>
        <w:pStyle w:val="FirstParagraph"/>
      </w:pPr>
      <w:r>
        <w:rPr>
          <w:bCs/>
          <w:b/>
        </w:rPr>
        <w:t xml:space="preserve">Policy: choose the EU option wherever a provider offers one.</w:t>
      </w:r>
      <w:r>
        <w:t xml:space="preserve"> </w:t>
      </w:r>
      <w:r>
        <w:t xml:space="preserve">Supabase, PostHog</w:t>
      </w:r>
      <w:r>
        <w:t xml:space="preserve"> </w:t>
      </w:r>
      <w:r>
        <w:t xml:space="preserve">and Vercel's function region are all set to EU. Where a service is inherently</w:t>
      </w:r>
      <w:r>
        <w:t xml:space="preserve"> </w:t>
      </w:r>
      <w:r>
        <w:t xml:space="preserve">global (a CDN / edge network) or US-only (the AI vendors), that is stated plainly</w:t>
      </w:r>
      <w:r>
        <w:t xml:space="preserve"> </w:t>
      </w:r>
      <w:r>
        <w:t xml:space="preserve">below rather than implied away.</w:t>
      </w:r>
    </w:p>
    <w:p>
      <w:pPr>
        <w:pStyle w:val="BodyText"/>
      </w:pPr>
      <w:r>
        <w:rPr>
          <w:bCs/>
          <w:b/>
        </w:rPr>
        <w:t xml:space="preserve">Data at rest is in the EEA.</w:t>
      </w:r>
      <w:r>
        <w:t xml:space="preserve"> </w:t>
      </w:r>
      <w:r>
        <w:t xml:space="preserve">The two stores that hold personal data are both</w:t>
      </w:r>
      <w:r>
        <w:t xml:space="preserve"> </w:t>
      </w:r>
      <w:r>
        <w:t xml:space="preserve">EU-hosted: Supabase (database, storage, auth) in AWS</w:t>
      </w:r>
      <w:r>
        <w:t xml:space="preserve"> </w:t>
      </w:r>
      <w:r>
        <w:rPr>
          <w:rStyle w:val="VerbatimChar"/>
        </w:rPr>
        <w:t xml:space="preserve">eu-west-1</w:t>
      </w:r>
      <w:r>
        <w:t xml:space="preserve"> </w:t>
      </w:r>
      <w:r>
        <w:t xml:space="preserve">(Ireland) and</w:t>
      </w:r>
      <w:r>
        <w:t xml:space="preserve"> </w:t>
      </w:r>
      <w:r>
        <w:t xml:space="preserve">PostHog (analytics) on its EU Cloud instance. Transfers to the EEA are covered by</w:t>
      </w:r>
      <w:r>
        <w:t xml:space="preserve"> </w:t>
      </w:r>
      <w:r>
        <w:t xml:space="preserve">the UK's adequacy regulations, so no SCC reliance is needed for either.</w:t>
      </w:r>
    </w:p>
    <w:p>
      <w:pPr>
        <w:pStyle w:val="BodyText"/>
      </w:pPr>
      <w:r>
        <w:rPr>
          <w:bCs/>
          <w:b/>
        </w:rPr>
        <w:t xml:space="preserve">Compute is EU-configured but not EU-only.</w:t>
      </w:r>
      <w:r>
        <w:t xml:space="preserve"> </w:t>
      </w:r>
      <w:r>
        <w:t xml:space="preserve">Vercel's function region is set to</w:t>
      </w:r>
      <w:r>
        <w:t xml:space="preserve"> </w:t>
      </w:r>
      <w:r>
        <w:t xml:space="preserve">Frankfurt (</w:t>
      </w:r>
      <w:r>
        <w:rPr>
          <w:rStyle w:val="VerbatimChar"/>
        </w:rPr>
        <w:t xml:space="preserve">fra1</w:t>
      </w:r>
      <w:r>
        <w:t xml:space="preserve">), which governs Serverless (Node) functions. It does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pin</w:t>
      </w:r>
      <w:r>
        <w:t xml:space="preserve"> </w:t>
      </w:r>
      <w:r>
        <w:t xml:space="preserve">Edge Functions: those execute at the point of presence nearest the request, and</w:t>
      </w:r>
      <w:r>
        <w:t xml:space="preserve"> </w:t>
      </w:r>
      <w:r>
        <w:t xml:space="preserve">most of the API — including every route handling child practice data — is</w:t>
      </w:r>
      <w:r>
        <w:t xml:space="preserve"> </w:t>
      </w:r>
      <w:r>
        <w:rPr>
          <w:rStyle w:val="VerbatimChar"/>
        </w:rPr>
        <w:t xml:space="preserve">runtime: "edge"</w:t>
      </w:r>
      <w:r>
        <w:t xml:space="preserve">. So request handling (IP, request content in memory) can occur</w:t>
      </w:r>
      <w:r>
        <w:t xml:space="preserve"> </w:t>
      </w:r>
      <w:r>
        <w:t xml:space="preserve">outside the EEA even though nothing is stored outside it.</w:t>
      </w:r>
    </w:p>
    <w:p>
      <w:pPr>
        <w:pStyle w:val="BodyText"/>
      </w:pPr>
      <w:r>
        <w:t xml:space="preserve">Transfers outside the UK/EEA therefore arise from three things, all covered by DPAs</w:t>
      </w:r>
      <w:r>
        <w:t xml:space="preserve"> </w:t>
      </w:r>
      <w:r>
        <w:t xml:space="preserve">with Standard Contractual Clauses (see A3):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Edge request handling</w:t>
      </w:r>
      <w:r>
        <w:t xml:space="preserve"> </w:t>
      </w:r>
      <w:r>
        <w:t xml:space="preserve">— Vercel Edge Functions run at the nearest global PoP.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 calls in flight</w:t>
      </w:r>
      <w:r>
        <w:t xml:space="preserve"> </w:t>
      </w:r>
      <w:r>
        <w:t xml:space="preserve">— request content is sent to OpenAI, Google and Anthropic</w:t>
      </w:r>
      <w:r>
        <w:t xml:space="preserve"> </w:t>
      </w:r>
      <w:r>
        <w:t xml:space="preserve">in the US, processed, and returned; it is not stored there under our API</w:t>
      </w:r>
      <w:r>
        <w:t xml:space="preserve"> </w:t>
      </w:r>
      <w:r>
        <w:t xml:space="preserve">configuration (no-training stance, see</w:t>
      </w:r>
      <w:r>
        <w:t xml:space="preserve"> </w:t>
      </w:r>
      <w:r>
        <w:rPr>
          <w:rStyle w:val="VerbatimChar"/>
        </w:rPr>
        <w:t xml:space="preserve">data/ai-subprocessors.json</w:t>
      </w:r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Vendor support/operations access</w:t>
      </w:r>
      <w:r>
        <w:t xml:space="preserve"> </w:t>
      </w:r>
      <w:r>
        <w:t xml:space="preserve">— Vercel and Supabase are US companies whose</w:t>
      </w:r>
      <w:r>
        <w:t xml:space="preserve"> </w:t>
      </w:r>
      <w:r>
        <w:t xml:space="preserve">staff may access infrastructure for support.</w:t>
      </w:r>
    </w:p>
    <w:p>
      <w:pPr>
        <w:pStyle w:val="FirstParagraph"/>
      </w:pPr>
      <w:r>
        <w:t xml:space="preserve">All provider DPAs accepted by the controller (confirmed 2026-06-30).</w:t>
      </w:r>
    </w:p>
    <w:bookmarkEnd w:id="31"/>
    <w:bookmarkStart w:id="32" w:name="a5-retention"/>
    <w:p>
      <w:pPr>
        <w:pStyle w:val="Heading3"/>
      </w:pPr>
      <w:r>
        <w:t xml:space="preserve">A5. Retention</w:t>
      </w:r>
    </w:p>
    <w:p>
      <w:pPr>
        <w:pStyle w:val="FirstParagraph"/>
      </w:pPr>
      <w:r>
        <w:t xml:space="preserve">Automated via</w:t>
      </w:r>
      <w:r>
        <w:t xml:space="preserve"> </w:t>
      </w:r>
      <w:r>
        <w:rPr>
          <w:rStyle w:val="VerbatimChar"/>
        </w:rPr>
        <w:t xml:space="preserve">purge_expired_data()</w:t>
      </w:r>
      <w:r>
        <w:t xml:space="preserve"> </w:t>
      </w:r>
      <w:r>
        <w:t xml:space="preserve">(daily cron, dry-run by default):</w:t>
      </w:r>
      <w:r>
        <w:t xml:space="preserve"> </w:t>
      </w:r>
      <w:r>
        <w:t xml:space="preserve">usage 14m · email log 12m · feedback + screenshots 12m · challenge data 90d ·</w:t>
      </w:r>
      <w:r>
        <w:t xml:space="preserve"> </w:t>
      </w:r>
      <w:r>
        <w:rPr>
          <w:bCs/>
          <w:b/>
        </w:rPr>
        <w:t xml:space="preserve">handwriting thumbnails 90d (image only; scores kept)</w:t>
      </w:r>
      <w:r>
        <w:t xml:space="preserve"> </w:t>
      </w:r>
      <w:r>
        <w:t xml:space="preserve">· dormant unconfirmed</w:t>
      </w:r>
      <w:r>
        <w:t xml:space="preserve"> </w:t>
      </w:r>
      <w:r>
        <w:t xml:space="preserve">accounts 12m. On-demand erasure via in-app account/child delete. Unused-account</w:t>
      </w:r>
      <w:r>
        <w:t xml:space="preserve"> </w:t>
      </w:r>
      <w:r>
        <w:t xml:space="preserve">sunsets (email warning + keep link first): no child → deleted day 30 after signup;</w:t>
      </w:r>
      <w:r>
        <w:t xml:space="preserve"> </w:t>
      </w:r>
      <w:r>
        <w:t xml:space="preserve">no sign-in or practice for 6 months → deleted 30 days after the warning, children</w:t>
      </w:r>
      <w:r>
        <w:t xml:space="preserve"> </w:t>
      </w:r>
      <w:r>
        <w:t xml:space="preserve">included (</w:t>
      </w:r>
      <w:r>
        <w:rPr>
          <w:rStyle w:val="VerbatimChar"/>
        </w:rPr>
        <w:t xml:space="preserve">sunset-childless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sunset-inactive</w:t>
      </w:r>
      <w:r>
        <w:t xml:space="preserve">; armed only after queue review).</w:t>
      </w:r>
    </w:p>
    <w:bookmarkEnd w:id="32"/>
    <w:bookmarkStart w:id="33" w:name="a6-technical--organisational-measures"/>
    <w:p>
      <w:pPr>
        <w:pStyle w:val="Heading3"/>
      </w:pPr>
      <w:r>
        <w:t xml:space="preserve">A6. Technical &amp; organisational measures</w:t>
      </w:r>
    </w:p>
    <w:p>
      <w:pPr>
        <w:pStyle w:val="FirstParagraph"/>
      </w:pPr>
      <w:r>
        <w:t xml:space="preserve">Supabase RLS (owner-scoped), private storage buckets, JWT auth, service-role keys</w:t>
      </w:r>
      <w:r>
        <w:t xml:space="preserve"> </w:t>
      </w:r>
      <w:r>
        <w:t xml:space="preserve">server-side only, owner-only child erasure, credit metering, child-safe AI</w:t>
      </w:r>
      <w:r>
        <w:t xml:space="preserve"> </w:t>
      </w:r>
      <w:r>
        <w:t xml:space="preserve">guardrail, retention automation, self-service rights tooling.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5" w:name="X9c5a32d464da78bdf463abb9213ed2961627d4f"/>
    <w:p>
      <w:pPr>
        <w:pStyle w:val="Heading2"/>
      </w:pPr>
      <w:r>
        <w:t xml:space="preserve">Part B — Personal Data Breach Response (Art. 33/34)</w:t>
      </w:r>
    </w:p>
    <w:p>
      <w:pPr>
        <w:pStyle w:val="FirstParagraph"/>
      </w:pPr>
      <w:r>
        <w:rPr>
          <w:bCs/>
          <w:b/>
        </w:rPr>
        <w:t xml:space="preserve">Goal:</w:t>
      </w:r>
      <w:r>
        <w:t xml:space="preserve"> </w:t>
      </w:r>
      <w:r>
        <w:t xml:space="preserve">assess any suspected breach and, if it meets the threshold, report to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ICO within 72 hours</w:t>
      </w:r>
      <w:r>
        <w:t xml:space="preserve"> </w:t>
      </w:r>
      <w:r>
        <w:t xml:space="preserve">of becoming aware, and tell affected individuals if</w:t>
      </w:r>
      <w:r>
        <w:t xml:space="preserve"> </w:t>
      </w:r>
      <w:r>
        <w:t xml:space="preserve">high risk. Children's data raises the likelihood that notification is needed.</w:t>
      </w:r>
    </w:p>
    <w:bookmarkStart w:id="35" w:name="b1-if-you-suspect-a-breach"/>
    <w:p>
      <w:pPr>
        <w:pStyle w:val="Heading3"/>
      </w:pPr>
      <w:r>
        <w:t xml:space="preserve">B1. If you suspect a breach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Contain</w:t>
      </w:r>
      <w:r>
        <w:t xml:space="preserve"> </w:t>
      </w:r>
      <w:r>
        <w:t xml:space="preserve">— revoke keys/sessions, take the affected route offline, stop the leak.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Record</w:t>
      </w:r>
      <w:r>
        <w:t xml:space="preserve"> </w:t>
      </w:r>
      <w:r>
        <w:t xml:space="preserve">time discovered, what happened, data and people affected (especially children), likely cause. Start a log immediately.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Assess risk</w:t>
      </w:r>
      <w:r>
        <w:t xml:space="preserve"> </w:t>
      </w:r>
      <w:r>
        <w:t xml:space="preserve">— what data, how many, could it harm the child/parent (identity, safety, distress)?</w:t>
      </w:r>
    </w:p>
    <w:bookmarkEnd w:id="35"/>
    <w:bookmarkStart w:id="36" w:name="b2-decide--notify"/>
    <w:p>
      <w:pPr>
        <w:pStyle w:val="Heading3"/>
      </w:pPr>
      <w:r>
        <w:t xml:space="preserve">B2. Decide &amp; notify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Report to the ICO within 72 hours</w:t>
      </w:r>
      <w:r>
        <w:t xml:space="preserve"> </w:t>
      </w:r>
      <w:r>
        <w:t xml:space="preserve">if there's a risk to people's rights/freedoms. ICO breach line / online form. Better to report and stand down than miss the window.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Tell affected parents without undue delay</w:t>
      </w:r>
      <w:r>
        <w:t xml:space="preserve"> </w:t>
      </w:r>
      <w:r>
        <w:t xml:space="preserve">if the breach is</w:t>
      </w:r>
      <w:r>
        <w:t xml:space="preserve"> </w:t>
      </w:r>
      <w:r>
        <w:rPr>
          <w:bCs/>
          <w:b/>
        </w:rPr>
        <w:t xml:space="preserve">high risk</w:t>
      </w:r>
      <w:r>
        <w:t xml:space="preserve"> </w:t>
      </w:r>
      <w:r>
        <w:t xml:space="preserve">— plain language: what happened, likely impact, what you're doing, what they can do.</w:t>
      </w:r>
    </w:p>
    <w:p>
      <w:pPr>
        <w:numPr>
          <w:ilvl w:val="0"/>
          <w:numId w:val="1004"/>
        </w:numPr>
        <w:pStyle w:val="Compact"/>
      </w:pPr>
      <w:r>
        <w:t xml:space="preserve">If a</w:t>
      </w:r>
      <w:r>
        <w:t xml:space="preserve"> </w:t>
      </w:r>
      <w:r>
        <w:rPr>
          <w:bCs/>
          <w:b/>
        </w:rPr>
        <w:t xml:space="preserve">processor</w:t>
      </w:r>
      <w:r>
        <w:t xml:space="preserve"> </w:t>
      </w:r>
      <w:r>
        <w:t xml:space="preserve">(Vercel/Supabase/AI provider) caused it, they must inform you; capture their incident report.</w:t>
      </w:r>
    </w:p>
    <w:bookmarkEnd w:id="36"/>
    <w:bookmarkStart w:id="44" w:name="b3-after"/>
    <w:p>
      <w:pPr>
        <w:pStyle w:val="Heading3"/>
      </w:pPr>
      <w:r>
        <w:t xml:space="preserve">B3. After</w:t>
      </w:r>
    </w:p>
    <w:p>
      <w:pPr>
        <w:pStyle w:val="FirstParagraph"/>
      </w:pPr>
      <w:r>
        <w:t xml:space="preserve">Fix root cause, record lessons learned, update this plan and the DPIA if the</w:t>
      </w:r>
      <w:r>
        <w:t xml:space="preserve"> </w:t>
      </w:r>
      <w:r>
        <w:t xml:space="preserve">processing or risk changed. Keep a breach register (even for non-reportable ones).</w:t>
      </w:r>
    </w:p>
    <w:p>
      <w:pPr>
        <w:pStyle w:val="BodyText"/>
      </w:pPr>
      <w:r>
        <w:rPr>
          <w:bCs/>
          <w:b/>
        </w:rPr>
        <w:t xml:space="preserve">Key contacts:</w:t>
      </w:r>
      <w:r>
        <w:t xml:space="preserve"> </w:t>
      </w:r>
      <w:r>
        <w:t xml:space="preserve">ICO — ico.org.uk / 0303 123 1113. Controller —</w:t>
      </w:r>
      <w:r>
        <w:t xml:space="preserve"> </w:t>
      </w:r>
      <w:hyperlink r:id="rId20">
        <w:r>
          <w:rPr>
            <w:rStyle w:val="Hyperlink"/>
          </w:rPr>
          <w:t xml:space="preserve">support@spelling.live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Processor status &amp; security contacts: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Provider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 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Vercel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vercel.com/status</w:t>
            </w:r>
          </w:p>
        </w:tc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security@vercel.com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Supabase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status.supabase.com</w:t>
            </w:r>
          </w:p>
        </w:tc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security@supabase.io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status.openai.com</w:t>
            </w:r>
          </w:p>
        </w:tc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security@openai.com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Google Cloud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status.cloud.google.com</w:t>
            </w:r>
          </w:p>
        </w:tc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security@google.com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Anthropic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status.anthropic.com</w:t>
            </w:r>
          </w:p>
        </w:tc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security@anthropic.com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PostHog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status.posthog.com</w:t>
            </w:r>
          </w:p>
        </w:tc>
        <w:tc>
          <w:tcPr/>
          <w:p>
            <w:pPr>
              <w:pStyle w:val="Compact"/>
              <w:jc w:val="left"/>
            </w:pPr>
            <w:hyperlink r:id="rId42">
              <w:r>
                <w:rPr>
                  <w:rStyle w:val="Hyperlink"/>
                </w:rPr>
                <w:t xml:space="preserve">security@posthog.com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resend-status.com</w:t>
            </w:r>
          </w:p>
        </w:tc>
        <w:tc>
          <w:tcPr/>
          <w:p>
            <w:pPr>
              <w:pStyle w:val="Compact"/>
              <w:jc w:val="left"/>
            </w:pPr>
            <w:hyperlink r:id="rId43">
              <w:r>
                <w:rPr>
                  <w:rStyle w:val="Hyperlink"/>
                </w:rPr>
                <w:t xml:space="preserve">security@resend.com</w:t>
              </w:r>
            </w:hyperlink>
          </w:p>
        </w:tc>
      </w:tr>
    </w:tbl>
    <w:bookmarkEnd w:id="44"/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s://cloud.google.com/terms/data-processing-addendum" TargetMode="External" /><Relationship Type="http://schemas.openxmlformats.org/officeDocument/2006/relationships/hyperlink" Id="rId25" Target="https://openai.com/policies/data-processing-addendum/" TargetMode="External" /><Relationship Type="http://schemas.openxmlformats.org/officeDocument/2006/relationships/hyperlink" Id="rId28" Target="https://posthog.com/privacy/dpa" TargetMode="External" /><Relationship Type="http://schemas.openxmlformats.org/officeDocument/2006/relationships/hyperlink" Id="rId29" Target="https://resend.com/legal/dpa" TargetMode="External" /><Relationship Type="http://schemas.openxmlformats.org/officeDocument/2006/relationships/hyperlink" Id="rId24" Target="https://supabase.com/legal/dpa" TargetMode="External" /><Relationship Type="http://schemas.openxmlformats.org/officeDocument/2006/relationships/hyperlink" Id="rId23" Target="https://vercel.com/legal/dpa" TargetMode="External" /><Relationship Type="http://schemas.openxmlformats.org/officeDocument/2006/relationships/hyperlink" Id="rId27" Target="https://www.anthropic.com/legal/commercial-terms" TargetMode="External" /><Relationship Type="http://schemas.openxmlformats.org/officeDocument/2006/relationships/hyperlink" Id="rId41" Target="mailto:security@anthropic.com" TargetMode="External" /><Relationship Type="http://schemas.openxmlformats.org/officeDocument/2006/relationships/hyperlink" Id="rId40" Target="mailto:security@google.com" TargetMode="External" /><Relationship Type="http://schemas.openxmlformats.org/officeDocument/2006/relationships/hyperlink" Id="rId39" Target="mailto:security@openai.com" TargetMode="External" /><Relationship Type="http://schemas.openxmlformats.org/officeDocument/2006/relationships/hyperlink" Id="rId42" Target="mailto:security@posthog.com" TargetMode="External" /><Relationship Type="http://schemas.openxmlformats.org/officeDocument/2006/relationships/hyperlink" Id="rId43" Target="mailto:security@resend.com" TargetMode="External" /><Relationship Type="http://schemas.openxmlformats.org/officeDocument/2006/relationships/hyperlink" Id="rId38" Target="mailto:security@supabase.io" TargetMode="External" /><Relationship Type="http://schemas.openxmlformats.org/officeDocument/2006/relationships/hyperlink" Id="rId37" Target="mailto:security@vercel.com" TargetMode="External" /><Relationship Type="http://schemas.openxmlformats.org/officeDocument/2006/relationships/hyperlink" Id="rId20" Target="mailto:support@spelling.l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cloud.google.com/terms/data-processing-addendum" TargetMode="External" /><Relationship Type="http://schemas.openxmlformats.org/officeDocument/2006/relationships/hyperlink" Id="rId25" Target="https://openai.com/policies/data-processing-addendum/" TargetMode="External" /><Relationship Type="http://schemas.openxmlformats.org/officeDocument/2006/relationships/hyperlink" Id="rId28" Target="https://posthog.com/privacy/dpa" TargetMode="External" /><Relationship Type="http://schemas.openxmlformats.org/officeDocument/2006/relationships/hyperlink" Id="rId29" Target="https://resend.com/legal/dpa" TargetMode="External" /><Relationship Type="http://schemas.openxmlformats.org/officeDocument/2006/relationships/hyperlink" Id="rId24" Target="https://supabase.com/legal/dpa" TargetMode="External" /><Relationship Type="http://schemas.openxmlformats.org/officeDocument/2006/relationships/hyperlink" Id="rId23" Target="https://vercel.com/legal/dpa" TargetMode="External" /><Relationship Type="http://schemas.openxmlformats.org/officeDocument/2006/relationships/hyperlink" Id="rId27" Target="https://www.anthropic.com/legal/commercial-terms" TargetMode="External" /><Relationship Type="http://schemas.openxmlformats.org/officeDocument/2006/relationships/hyperlink" Id="rId41" Target="mailto:security@anthropic.com" TargetMode="External" /><Relationship Type="http://schemas.openxmlformats.org/officeDocument/2006/relationships/hyperlink" Id="rId40" Target="mailto:security@google.com" TargetMode="External" /><Relationship Type="http://schemas.openxmlformats.org/officeDocument/2006/relationships/hyperlink" Id="rId39" Target="mailto:security@openai.com" TargetMode="External" /><Relationship Type="http://schemas.openxmlformats.org/officeDocument/2006/relationships/hyperlink" Id="rId42" Target="mailto:security@posthog.com" TargetMode="External" /><Relationship Type="http://schemas.openxmlformats.org/officeDocument/2006/relationships/hyperlink" Id="rId43" Target="mailto:security@resend.com" TargetMode="External" /><Relationship Type="http://schemas.openxmlformats.org/officeDocument/2006/relationships/hyperlink" Id="rId38" Target="mailto:security@supabase.io" TargetMode="External" /><Relationship Type="http://schemas.openxmlformats.org/officeDocument/2006/relationships/hyperlink" Id="rId37" Target="mailto:security@vercel.com" TargetMode="External" /><Relationship Type="http://schemas.openxmlformats.org/officeDocument/2006/relationships/hyperlink" Id="rId20" Target="mailto:support@spelling.l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en-GB</dc:language>
  <cp:keywords/>
  <dcterms:created xsi:type="dcterms:W3CDTF">2026-10-14T10:19:56Z</dcterms:created>
  <dcterms:modified xsi:type="dcterms:W3CDTF">2026-10-14T10:19:56Z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